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B520" w14:textId="7F4E6CF0" w:rsidR="00357BAF" w:rsidRPr="00E25A18" w:rsidRDefault="00357BAF" w:rsidP="00357BAF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bookmarkStart w:id="0" w:name="_Hlk109901524"/>
      <w:r w:rsidRPr="00E25A18">
        <w:rPr>
          <w:rFonts w:ascii="Arial" w:hAnsi="Arial" w:cs="Arial"/>
          <w:b/>
          <w:bCs/>
          <w:sz w:val="28"/>
          <w:szCs w:val="28"/>
          <w:lang w:val="hr-HR"/>
        </w:rPr>
        <w:t xml:space="preserve">Studenac pop-up - sinergija </w:t>
      </w:r>
      <w:r w:rsidR="006F7E95" w:rsidRPr="00E25A18">
        <w:rPr>
          <w:rFonts w:ascii="Arial" w:hAnsi="Arial" w:cs="Arial"/>
          <w:b/>
          <w:bCs/>
          <w:sz w:val="28"/>
          <w:szCs w:val="28"/>
          <w:lang w:val="hr-HR"/>
        </w:rPr>
        <w:t xml:space="preserve">susjedskog dućana, </w:t>
      </w:r>
      <w:r w:rsidRPr="00E25A18">
        <w:rPr>
          <w:rFonts w:ascii="Arial" w:hAnsi="Arial" w:cs="Arial"/>
          <w:b/>
          <w:bCs/>
          <w:sz w:val="28"/>
          <w:szCs w:val="28"/>
          <w:lang w:val="hr-HR"/>
        </w:rPr>
        <w:t>inovacije i održivosti u maloprodaji</w:t>
      </w:r>
    </w:p>
    <w:p w14:paraId="4E676437" w14:textId="559F6C69" w:rsidR="00357BAF" w:rsidRPr="00E25A18" w:rsidRDefault="002C434E" w:rsidP="00357BAF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  <w:r w:rsidRPr="00E25A18">
        <w:rPr>
          <w:rFonts w:ascii="Arial" w:hAnsi="Arial" w:cs="Arial"/>
          <w:i/>
          <w:iCs/>
          <w:sz w:val="22"/>
          <w:szCs w:val="22"/>
          <w:lang w:val="hr-HR"/>
        </w:rPr>
        <w:t>Otvoreno devet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Studenac pop-up dućana</w:t>
      </w:r>
      <w:r w:rsidR="00A17710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2A627C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na 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>Jadranu -</w:t>
      </w:r>
      <w:r w:rsidR="000E5A45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Uz približavanje lokalnoj zajednici, </w:t>
      </w:r>
      <w:r w:rsidR="000E5A45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pop-up </w:t>
      </w:r>
      <w:r w:rsidR="00A17710" w:rsidRPr="00E25A18">
        <w:rPr>
          <w:rFonts w:ascii="Arial" w:hAnsi="Arial" w:cs="Arial"/>
          <w:i/>
          <w:iCs/>
          <w:sz w:val="22"/>
          <w:szCs w:val="22"/>
          <w:lang w:val="hr-HR"/>
        </w:rPr>
        <w:t>upotpunjuje</w:t>
      </w:r>
      <w:r w:rsidR="000E5A45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>turističk</w:t>
      </w:r>
      <w:r w:rsidR="000E5A45" w:rsidRPr="00E25A18">
        <w:rPr>
          <w:rFonts w:ascii="Arial" w:hAnsi="Arial" w:cs="Arial"/>
          <w:i/>
          <w:iCs/>
          <w:sz w:val="22"/>
          <w:szCs w:val="22"/>
          <w:lang w:val="hr-HR"/>
        </w:rPr>
        <w:t>u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ponud</w:t>
      </w:r>
      <w:r w:rsidR="00A17710" w:rsidRPr="00E25A18">
        <w:rPr>
          <w:rFonts w:ascii="Arial" w:hAnsi="Arial" w:cs="Arial"/>
          <w:i/>
          <w:iCs/>
          <w:sz w:val="22"/>
          <w:szCs w:val="22"/>
          <w:lang w:val="hr-HR"/>
        </w:rPr>
        <w:t>u</w:t>
      </w:r>
      <w:r w:rsidR="00357BAF" w:rsidRPr="00E25A18">
        <w:rPr>
          <w:rFonts w:ascii="Arial" w:hAnsi="Arial" w:cs="Arial"/>
          <w:i/>
          <w:iCs/>
          <w:sz w:val="22"/>
          <w:szCs w:val="22"/>
          <w:lang w:val="hr-HR"/>
        </w:rPr>
        <w:t xml:space="preserve"> na Jadranu</w:t>
      </w:r>
    </w:p>
    <w:p w14:paraId="6F7C78C8" w14:textId="7D957EE3" w:rsidR="00357BAF" w:rsidRPr="00E25A18" w:rsidRDefault="00E25A18" w:rsidP="00357BAF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>Omiš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, </w:t>
      </w:r>
      <w:r w:rsidR="00A07447" w:rsidRPr="00E25A18">
        <w:rPr>
          <w:rFonts w:ascii="Arial" w:hAnsi="Arial" w:cs="Arial"/>
          <w:sz w:val="22"/>
          <w:szCs w:val="22"/>
          <w:lang w:val="hr-HR"/>
        </w:rPr>
        <w:t>10</w:t>
      </w:r>
      <w:r w:rsidR="00357BAF" w:rsidRPr="00E25A18">
        <w:rPr>
          <w:rFonts w:ascii="Arial" w:hAnsi="Arial" w:cs="Arial"/>
          <w:sz w:val="22"/>
          <w:szCs w:val="22"/>
          <w:lang w:val="hr-HR"/>
        </w:rPr>
        <w:t>.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kolovoza 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2023. - U manje od godinu dana od otvorenja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prve pop-up trgovine početkom kolovoza prošle godine u Novigradu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, Studenac je razvio i nadogradio svoj inovativni koncept te ga ovog ljeta </w:t>
      </w:r>
      <w:r w:rsidR="002C434E" w:rsidRPr="00E25A18">
        <w:rPr>
          <w:rFonts w:ascii="Arial" w:hAnsi="Arial" w:cs="Arial"/>
          <w:sz w:val="22"/>
          <w:szCs w:val="22"/>
          <w:lang w:val="hr-HR"/>
        </w:rPr>
        <w:t xml:space="preserve">proširio 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na ukupno 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9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lokacija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. Studenac pop-up dućani </w:t>
      </w:r>
      <w:r w:rsidR="002C434E" w:rsidRPr="00E25A18">
        <w:rPr>
          <w:rFonts w:ascii="Arial" w:hAnsi="Arial" w:cs="Arial"/>
          <w:sz w:val="22"/>
          <w:szCs w:val="22"/>
          <w:lang w:val="hr-HR"/>
        </w:rPr>
        <w:t xml:space="preserve">otvorili su 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se diljem jadranske obale. 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>O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tvoreni 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su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dućani u Ra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p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cu, Dramlju, Zatonu kod Zadra, Selcu, Opatiji</w:t>
      </w:r>
      <w:r w:rsidR="00D874CA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-</w:t>
      </w:r>
      <w:r w:rsidR="00D874CA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Ičićima, Krku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,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Visu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="006B3E96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Zadru 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>i Tribunj</w:t>
      </w:r>
      <w:r w:rsidR="002C434E" w:rsidRPr="00E25A18">
        <w:rPr>
          <w:rFonts w:ascii="Arial" w:hAnsi="Arial" w:cs="Arial"/>
          <w:b/>
          <w:bCs/>
          <w:sz w:val="22"/>
          <w:szCs w:val="22"/>
          <w:lang w:val="hr-HR"/>
        </w:rPr>
        <w:t>u</w:t>
      </w:r>
      <w:r w:rsidR="002A627C" w:rsidRPr="00E25A18">
        <w:rPr>
          <w:rFonts w:ascii="Arial" w:hAnsi="Arial" w:cs="Arial"/>
          <w:b/>
          <w:bCs/>
          <w:sz w:val="22"/>
          <w:szCs w:val="22"/>
          <w:lang w:val="hr-HR"/>
        </w:rPr>
        <w:t>.</w:t>
      </w:r>
      <w:r w:rsidR="00357BAF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2A627C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</w:p>
    <w:p w14:paraId="15327297" w14:textId="1A749C00" w:rsidR="00357BAF" w:rsidRPr="00E25A18" w:rsidRDefault="00357BAF" w:rsidP="00357BAF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 xml:space="preserve">Jedna od istaknutih značajki pop-up prodavaonice pažljivo je odabrani asortiman koji se temelji na </w:t>
      </w:r>
      <w:r w:rsidR="002A627C" w:rsidRPr="00E25A18">
        <w:rPr>
          <w:rFonts w:ascii="Arial" w:hAnsi="Arial" w:cs="Arial"/>
          <w:sz w:val="22"/>
          <w:szCs w:val="22"/>
          <w:lang w:val="hr-HR"/>
        </w:rPr>
        <w:t xml:space="preserve">TO GO ponudi i 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paketiranim proizvodima za brzo konzumiranje. </w:t>
      </w:r>
      <w:r w:rsidR="002A627C" w:rsidRPr="00E25A18">
        <w:rPr>
          <w:rFonts w:ascii="Arial" w:hAnsi="Arial" w:cs="Arial"/>
          <w:sz w:val="22"/>
          <w:szCs w:val="22"/>
          <w:lang w:val="hr-HR"/>
        </w:rPr>
        <w:t xml:space="preserve">U </w:t>
      </w:r>
      <w:r w:rsidR="00E25A18" w:rsidRPr="00E25A18">
        <w:rPr>
          <w:rFonts w:ascii="Arial" w:hAnsi="Arial" w:cs="Arial"/>
          <w:sz w:val="22"/>
          <w:szCs w:val="22"/>
          <w:lang w:val="hr-HR"/>
        </w:rPr>
        <w:t>asortimanu</w:t>
      </w:r>
      <w:r w:rsidR="002A627C" w:rsidRPr="00E25A18">
        <w:rPr>
          <w:rFonts w:ascii="Arial" w:hAnsi="Arial" w:cs="Arial"/>
          <w:sz w:val="22"/>
          <w:szCs w:val="22"/>
          <w:lang w:val="hr-HR"/>
        </w:rPr>
        <w:t xml:space="preserve"> prevladavaju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pekarski proizvodi, svježe voće i povrće, vrhunske delikatese, alkoholna i bezalkoholna pića, raznovrsne grickalice i slatkiši, ali i neprehrambeni proizvodi poput kozmetike, higijenskih potrepština i hrane za kućne ljubimce.  </w:t>
      </w:r>
    </w:p>
    <w:p w14:paraId="0F7CE5A7" w14:textId="19F430B3" w:rsidR="002A627C" w:rsidRPr="00E25A18" w:rsidRDefault="004D6BD5" w:rsidP="002A627C">
      <w:pPr>
        <w:pStyle w:val="CommentText"/>
        <w:rPr>
          <w:rFonts w:ascii="Arial" w:hAnsi="Arial" w:cs="Arial"/>
          <w:b/>
          <w:bCs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>„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Prošlogodišnji pilot projekt pop-upa u Novigradu pokazao se kao pun pogodak jedinstvenog modela trgovine u maloprodaji u Hrvatskoj. </w:t>
      </w:r>
      <w:r w:rsidR="006B3E96" w:rsidRPr="00E25A18">
        <w:rPr>
          <w:rFonts w:ascii="Arial" w:hAnsi="Arial" w:cs="Arial"/>
          <w:sz w:val="22"/>
          <w:szCs w:val="22"/>
          <w:lang w:val="hr-HR"/>
        </w:rPr>
        <w:t>Tako je ove godine prošire</w:t>
      </w:r>
      <w:r w:rsidR="007F1AC7" w:rsidRPr="00E25A18">
        <w:rPr>
          <w:rFonts w:ascii="Arial" w:hAnsi="Arial" w:cs="Arial"/>
          <w:sz w:val="22"/>
          <w:szCs w:val="22"/>
          <w:lang w:val="hr-HR"/>
        </w:rPr>
        <w:t>n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 </w:t>
      </w:r>
      <w:r w:rsidR="002A627C" w:rsidRPr="00E25A18">
        <w:rPr>
          <w:rFonts w:ascii="Arial" w:hAnsi="Arial" w:cs="Arial"/>
          <w:sz w:val="22"/>
          <w:szCs w:val="22"/>
          <w:lang w:val="hr-HR"/>
        </w:rPr>
        <w:t>u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 kampovima</w:t>
      </w:r>
      <w:r w:rsidR="002A627C" w:rsidRPr="00E25A18">
        <w:rPr>
          <w:rFonts w:ascii="Arial" w:hAnsi="Arial" w:cs="Arial"/>
          <w:sz w:val="22"/>
          <w:szCs w:val="22"/>
          <w:lang w:val="hr-HR"/>
        </w:rPr>
        <w:t xml:space="preserve"> i na plažama</w:t>
      </w:r>
      <w:bookmarkStart w:id="1" w:name="_Hlk142047273"/>
      <w:r w:rsidR="00AE6594" w:rsidRPr="00E25A18">
        <w:rPr>
          <w:rFonts w:ascii="Arial" w:hAnsi="Arial" w:cs="Arial"/>
          <w:sz w:val="22"/>
          <w:szCs w:val="22"/>
          <w:lang w:val="hr-HR"/>
        </w:rPr>
        <w:t xml:space="preserve">, </w:t>
      </w:r>
      <w:r w:rsidR="00357BAF" w:rsidRPr="00E25A18">
        <w:rPr>
          <w:rFonts w:ascii="Arial" w:hAnsi="Arial" w:cs="Arial"/>
          <w:sz w:val="22"/>
          <w:szCs w:val="22"/>
          <w:lang w:val="hr-HR"/>
        </w:rPr>
        <w:t>a</w:t>
      </w:r>
      <w:r w:rsidR="00AE6594" w:rsidRPr="00E25A18">
        <w:rPr>
          <w:rFonts w:ascii="Arial" w:hAnsi="Arial" w:cs="Arial"/>
          <w:sz w:val="22"/>
          <w:szCs w:val="22"/>
          <w:lang w:val="hr-HR"/>
        </w:rPr>
        <w:t xml:space="preserve"> planiramo ga postaviti </w:t>
      </w:r>
      <w:bookmarkStart w:id="2" w:name="_Hlk142047297"/>
      <w:bookmarkEnd w:id="1"/>
      <w:r w:rsidR="00AE6594" w:rsidRPr="00E25A18">
        <w:rPr>
          <w:rFonts w:ascii="Arial" w:hAnsi="Arial" w:cs="Arial"/>
          <w:sz w:val="22"/>
          <w:szCs w:val="22"/>
          <w:lang w:val="hr-HR"/>
        </w:rPr>
        <w:t xml:space="preserve">i u </w:t>
      </w:r>
      <w:r w:rsidR="002A627C" w:rsidRPr="00E25A18">
        <w:rPr>
          <w:rFonts w:ascii="Arial" w:hAnsi="Arial" w:cs="Arial"/>
          <w:sz w:val="22"/>
          <w:szCs w:val="22"/>
          <w:lang w:val="hr-HR"/>
        </w:rPr>
        <w:t>urbanim</w:t>
      </w:r>
      <w:r w:rsidR="00357BAF" w:rsidRPr="00E25A18">
        <w:rPr>
          <w:rFonts w:ascii="Arial" w:hAnsi="Arial" w:cs="Arial"/>
          <w:sz w:val="22"/>
          <w:szCs w:val="22"/>
          <w:lang w:val="hr-HR"/>
        </w:rPr>
        <w:t xml:space="preserve"> sredinama </w:t>
      </w:r>
      <w:r w:rsidR="002A627C" w:rsidRPr="00E25A18">
        <w:rPr>
          <w:rFonts w:ascii="Arial" w:hAnsi="Arial" w:cs="Arial"/>
          <w:sz w:val="22"/>
          <w:szCs w:val="22"/>
          <w:lang w:val="hr-HR"/>
        </w:rPr>
        <w:t xml:space="preserve">na obali </w:t>
      </w:r>
      <w:bookmarkEnd w:id="2"/>
      <w:r w:rsidR="00AE6594" w:rsidRPr="00E25A18">
        <w:rPr>
          <w:rFonts w:ascii="Arial" w:hAnsi="Arial" w:cs="Arial"/>
          <w:sz w:val="22"/>
          <w:szCs w:val="22"/>
          <w:lang w:val="hr-HR"/>
        </w:rPr>
        <w:t xml:space="preserve">te </w:t>
      </w:r>
      <w:r w:rsidR="007F1AC7" w:rsidRPr="00E25A18">
        <w:rPr>
          <w:rFonts w:ascii="Arial" w:hAnsi="Arial" w:cs="Arial"/>
          <w:sz w:val="22"/>
          <w:szCs w:val="22"/>
          <w:lang w:val="hr-HR"/>
        </w:rPr>
        <w:t xml:space="preserve">u </w:t>
      </w:r>
      <w:r w:rsidR="002A627C" w:rsidRPr="00E25A18">
        <w:rPr>
          <w:rFonts w:ascii="Arial" w:hAnsi="Arial" w:cs="Arial"/>
          <w:sz w:val="22"/>
          <w:szCs w:val="22"/>
          <w:lang w:val="hr-HR"/>
        </w:rPr>
        <w:t>kontinentalnom dijelu zemlje. Koncept će se nadograđivati prateći razvoj Studenca</w:t>
      </w:r>
      <w:r w:rsidR="00AF785B" w:rsidRPr="00E25A18">
        <w:rPr>
          <w:rFonts w:ascii="Arial" w:hAnsi="Arial" w:cs="Arial"/>
          <w:sz w:val="22"/>
          <w:szCs w:val="22"/>
          <w:lang w:val="hr-HR"/>
        </w:rPr>
        <w:t>, povratne informacije kupaca i prodajnog tima na terenu</w:t>
      </w:r>
      <w:r w:rsidRPr="00E25A18">
        <w:rPr>
          <w:rFonts w:ascii="Arial" w:hAnsi="Arial" w:cs="Arial"/>
          <w:sz w:val="22"/>
          <w:szCs w:val="22"/>
          <w:lang w:val="hr-HR"/>
        </w:rPr>
        <w:t>”</w:t>
      </w:r>
      <w:r w:rsidR="00795DB3" w:rsidRPr="00E25A18">
        <w:rPr>
          <w:rFonts w:ascii="Arial" w:hAnsi="Arial" w:cs="Arial"/>
          <w:sz w:val="22"/>
          <w:szCs w:val="22"/>
          <w:lang w:val="hr-HR"/>
        </w:rPr>
        <w:t>,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izjavila je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996628" w:rsidRPr="00E25A18">
        <w:rPr>
          <w:rFonts w:ascii="Arial" w:hAnsi="Arial" w:cs="Arial"/>
          <w:sz w:val="22"/>
          <w:szCs w:val="22"/>
          <w:lang w:val="hr-HR"/>
        </w:rPr>
        <w:t>v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oditeljica </w:t>
      </w:r>
      <w:r w:rsidR="008B0A79" w:rsidRPr="00E25A18">
        <w:rPr>
          <w:rFonts w:ascii="Arial" w:hAnsi="Arial" w:cs="Arial"/>
          <w:sz w:val="22"/>
          <w:szCs w:val="22"/>
          <w:lang w:val="hr-HR"/>
        </w:rPr>
        <w:t xml:space="preserve">projekata </w:t>
      </w:r>
      <w:r w:rsidRPr="00E25A18">
        <w:rPr>
          <w:rFonts w:ascii="Arial" w:hAnsi="Arial" w:cs="Arial"/>
          <w:sz w:val="22"/>
          <w:szCs w:val="22"/>
          <w:lang w:val="hr-HR"/>
        </w:rPr>
        <w:t>inovacija</w:t>
      </w:r>
      <w:r w:rsidR="00E25A18" w:rsidRPr="00E25A18">
        <w:rPr>
          <w:rFonts w:ascii="Arial" w:hAnsi="Arial" w:cs="Arial"/>
          <w:sz w:val="22"/>
          <w:szCs w:val="22"/>
          <w:lang w:val="hr-HR"/>
        </w:rPr>
        <w:t xml:space="preserve"> u Studencu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Gordana Kartelo</w:t>
      </w:r>
      <w:r w:rsidR="006F7E95" w:rsidRPr="00E25A18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288279A7" w14:textId="478C0D7D" w:rsidR="00357BAF" w:rsidRPr="00E25A18" w:rsidRDefault="00357BAF" w:rsidP="00357BAF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 xml:space="preserve">Pop-up format izvrstan je primjer 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sinergije formata</w:t>
      </w:r>
      <w:r w:rsidR="009F1BEE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dućana u susjedstvu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, inovativnosti</w:t>
      </w:r>
      <w:r w:rsidR="00487F95" w:rsidRPr="00E25A18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i održivosti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u poslovanju. Naime, pop-up u potpunosti slijedi 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principe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dućana u susjedstvu</w:t>
      </w:r>
      <w:r w:rsidR="00CF0436" w:rsidRPr="00E25A18">
        <w:rPr>
          <w:rFonts w:ascii="Arial" w:hAnsi="Arial" w:cs="Arial"/>
          <w:sz w:val="22"/>
          <w:szCs w:val="22"/>
          <w:lang w:val="hr-HR"/>
        </w:rPr>
        <w:t xml:space="preserve"> koji je blizu kad je najpot</w:t>
      </w:r>
      <w:r w:rsidR="00C02D7E" w:rsidRPr="00E25A18">
        <w:rPr>
          <w:rFonts w:ascii="Arial" w:hAnsi="Arial" w:cs="Arial"/>
          <w:sz w:val="22"/>
          <w:szCs w:val="22"/>
          <w:lang w:val="hr-HR"/>
        </w:rPr>
        <w:t>r</w:t>
      </w:r>
      <w:r w:rsidR="00CF0436" w:rsidRPr="00E25A18">
        <w:rPr>
          <w:rFonts w:ascii="Arial" w:hAnsi="Arial" w:cs="Arial"/>
          <w:sz w:val="22"/>
          <w:szCs w:val="22"/>
          <w:lang w:val="hr-HR"/>
        </w:rPr>
        <w:t>ebnije</w:t>
      </w:r>
      <w:r w:rsidR="00282489" w:rsidRPr="00E25A18">
        <w:rPr>
          <w:rFonts w:ascii="Arial" w:hAnsi="Arial" w:cs="Arial"/>
          <w:sz w:val="22"/>
          <w:szCs w:val="22"/>
          <w:lang w:val="hr-HR"/>
        </w:rPr>
        <w:t xml:space="preserve">, prilagođava se u potpunosti potrebama mikro zajednice te omogućava kupcima da u svakom trenutku u vrlo kratkom vremenu mogu pronaći „i sitno i bitno”. 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Moglo bi se reći da </w:t>
      </w:r>
      <w:r w:rsidR="00C308C2" w:rsidRPr="00E25A18">
        <w:rPr>
          <w:rFonts w:ascii="Arial" w:hAnsi="Arial" w:cs="Arial"/>
          <w:sz w:val="22"/>
          <w:szCs w:val="22"/>
          <w:lang w:val="hr-HR"/>
        </w:rPr>
        <w:t xml:space="preserve">pop-up prodavaonica 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diže </w:t>
      </w:r>
      <w:r w:rsidR="00E25A18" w:rsidRPr="00E25A18">
        <w:rPr>
          <w:rFonts w:ascii="Arial" w:hAnsi="Arial" w:cs="Arial"/>
          <w:sz w:val="22"/>
          <w:szCs w:val="22"/>
          <w:lang w:val="hr-HR"/>
        </w:rPr>
        <w:t xml:space="preserve">format dućana-susjeda 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na višu razinu jer je riječ o mobilnom objektu koji se premješta sukladno potrebama i fluktuaciji ljudi te trenutačno udovoljava potrebama zajednice. </w:t>
      </w:r>
      <w:r w:rsidR="00487F95" w:rsidRPr="00E25A18">
        <w:rPr>
          <w:rFonts w:ascii="Arial" w:hAnsi="Arial" w:cs="Arial"/>
          <w:b/>
          <w:bCs/>
          <w:sz w:val="22"/>
          <w:szCs w:val="22"/>
          <w:lang w:val="hr-HR"/>
        </w:rPr>
        <w:t>O</w:t>
      </w:r>
      <w:r w:rsidRPr="00E25A18">
        <w:rPr>
          <w:rFonts w:ascii="Arial" w:hAnsi="Arial" w:cs="Arial"/>
          <w:b/>
          <w:bCs/>
          <w:sz w:val="22"/>
          <w:szCs w:val="22"/>
          <w:lang w:val="hr-HR"/>
        </w:rPr>
        <w:t>drživi aspekt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razvoja ovakve vrste prodajne mreže</w:t>
      </w:r>
      <w:r w:rsidR="00AF785B" w:rsidRPr="00E25A18">
        <w:rPr>
          <w:rFonts w:ascii="Arial" w:hAnsi="Arial" w:cs="Arial"/>
          <w:sz w:val="22"/>
          <w:szCs w:val="22"/>
          <w:lang w:val="hr-HR"/>
        </w:rPr>
        <w:t>, temelji se na činjenici da p</w:t>
      </w:r>
      <w:r w:rsidRPr="00E25A18">
        <w:rPr>
          <w:rFonts w:ascii="Arial" w:hAnsi="Arial" w:cs="Arial"/>
          <w:sz w:val="22"/>
          <w:szCs w:val="22"/>
          <w:lang w:val="hr-HR"/>
        </w:rPr>
        <w:t>op</w:t>
      </w:r>
      <w:r w:rsidR="00E25A18" w:rsidRPr="00E25A18">
        <w:rPr>
          <w:rFonts w:ascii="Arial" w:hAnsi="Arial" w:cs="Arial"/>
          <w:sz w:val="22"/>
          <w:szCs w:val="22"/>
          <w:lang w:val="hr-HR"/>
        </w:rPr>
        <w:t>-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up dućani urbanistički ne interveniraju u prostor </w:t>
      </w:r>
      <w:r w:rsidR="00757FFE" w:rsidRPr="00E25A18">
        <w:rPr>
          <w:rFonts w:ascii="Arial" w:hAnsi="Arial" w:cs="Arial"/>
          <w:sz w:val="22"/>
          <w:szCs w:val="22"/>
          <w:lang w:val="hr-HR"/>
        </w:rPr>
        <w:t>poštujući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prirodno ili urbano okruženje u kojem se nalaze, istovremeno zadovoljavajući potrebu zajednice za proizvodima i uslugama.</w:t>
      </w:r>
    </w:p>
    <w:p w14:paraId="21EEB5EE" w14:textId="62EE5FEE" w:rsidR="00A17710" w:rsidRPr="00E25A18" w:rsidRDefault="00A17710" w:rsidP="00357BAF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>Turistička djelatnost važan je gospodarski čimbenik u Hrvatskoj, a temelji se na integriranoj ponudi i izrazima gostoljubivosti lokalnog okruženja čiji je važan element i dostupnost maloprodajnih lanaca u turističkim središtima</w:t>
      </w:r>
      <w:r w:rsidR="009F1BEE" w:rsidRPr="00E25A18">
        <w:rPr>
          <w:rFonts w:ascii="Arial" w:hAnsi="Arial" w:cs="Arial"/>
          <w:sz w:val="22"/>
          <w:szCs w:val="22"/>
          <w:lang w:val="hr-HR"/>
        </w:rPr>
        <w:t xml:space="preserve"> bilo da se oni nalaze na obali ili kontinentu</w:t>
      </w:r>
      <w:r w:rsidRPr="00E25A18">
        <w:rPr>
          <w:rFonts w:ascii="Arial" w:hAnsi="Arial" w:cs="Arial"/>
          <w:sz w:val="22"/>
          <w:szCs w:val="22"/>
          <w:lang w:val="hr-HR"/>
        </w:rPr>
        <w:t>. Studenac pop-up dućani tako predstavljaju sitan ali bitan doprinos razvoju turističke ponude i dostupnosti.</w:t>
      </w:r>
    </w:p>
    <w:p w14:paraId="3081C7DF" w14:textId="1EDFAD4C" w:rsidR="00357BAF" w:rsidRPr="00E25A18" w:rsidRDefault="00357BAF" w:rsidP="00357BAF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hr-HR"/>
        </w:rPr>
      </w:pPr>
      <w:r w:rsidRPr="00E25A18">
        <w:rPr>
          <w:rFonts w:ascii="Arial" w:hAnsi="Arial" w:cs="Arial"/>
          <w:sz w:val="22"/>
          <w:szCs w:val="22"/>
          <w:lang w:val="hr-HR"/>
        </w:rPr>
        <w:t>Privremene, pop up trgovine</w:t>
      </w:r>
      <w:r w:rsidR="009D1984" w:rsidRPr="00E25A18">
        <w:rPr>
          <w:rFonts w:ascii="Arial" w:hAnsi="Arial" w:cs="Arial"/>
          <w:sz w:val="22"/>
          <w:szCs w:val="22"/>
          <w:lang w:val="hr-HR"/>
        </w:rPr>
        <w:t xml:space="preserve"> 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izuzetno su popularne i predstavljaju značajan trend u maloprodajnom sektoru. Razvojem ovog modela, Studenac je još jednom pokazao liderstvo u inovaciji u </w:t>
      </w:r>
      <w:r w:rsidRPr="00E25A18">
        <w:rPr>
          <w:rFonts w:ascii="Arial" w:hAnsi="Arial" w:cs="Arial"/>
          <w:i/>
          <w:iCs/>
          <w:sz w:val="22"/>
          <w:szCs w:val="22"/>
          <w:lang w:val="hr-HR"/>
        </w:rPr>
        <w:t>retail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sektoru</w:t>
      </w:r>
      <w:r w:rsidR="009D1984" w:rsidRPr="00E25A18">
        <w:rPr>
          <w:rFonts w:ascii="Arial" w:hAnsi="Arial" w:cs="Arial"/>
          <w:sz w:val="22"/>
          <w:szCs w:val="22"/>
          <w:lang w:val="hr-HR"/>
        </w:rPr>
        <w:t>,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ali i u orijentiranosti i fokusiranosti na potrebe svojih kupaca. </w:t>
      </w:r>
      <w:r w:rsidR="00C02D7E" w:rsidRPr="00E25A18">
        <w:rPr>
          <w:rFonts w:ascii="Arial" w:hAnsi="Arial" w:cs="Arial"/>
          <w:sz w:val="22"/>
          <w:szCs w:val="22"/>
          <w:lang w:val="hr-HR"/>
        </w:rPr>
        <w:t xml:space="preserve">Tako u svojoj ponudi kupcima nudi i </w:t>
      </w:r>
      <w:r w:rsidRPr="00E25A18">
        <w:rPr>
          <w:rFonts w:ascii="Arial" w:hAnsi="Arial" w:cs="Arial"/>
          <w:sz w:val="22"/>
          <w:szCs w:val="22"/>
          <w:lang w:val="hr-HR"/>
        </w:rPr>
        <w:t>Studenac robn</w:t>
      </w:r>
      <w:r w:rsidR="00C02D7E" w:rsidRPr="00E25A18">
        <w:rPr>
          <w:rFonts w:ascii="Arial" w:hAnsi="Arial" w:cs="Arial"/>
          <w:sz w:val="22"/>
          <w:szCs w:val="22"/>
          <w:lang w:val="hr-HR"/>
        </w:rPr>
        <w:t>u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mark</w:t>
      </w:r>
      <w:r w:rsidR="00C268D5" w:rsidRPr="00E25A18">
        <w:rPr>
          <w:rFonts w:ascii="Arial" w:hAnsi="Arial" w:cs="Arial"/>
          <w:sz w:val="22"/>
          <w:szCs w:val="22"/>
          <w:lang w:val="hr-HR"/>
        </w:rPr>
        <w:t>u</w:t>
      </w:r>
      <w:r w:rsidR="00C02D7E" w:rsidRPr="00E25A18">
        <w:rPr>
          <w:rFonts w:ascii="Arial" w:hAnsi="Arial" w:cs="Arial"/>
          <w:sz w:val="22"/>
          <w:szCs w:val="22"/>
          <w:lang w:val="hr-HR"/>
        </w:rPr>
        <w:t>,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prepoznatljiv</w:t>
      </w:r>
      <w:r w:rsidR="00C02D7E" w:rsidRPr="00E25A18">
        <w:rPr>
          <w:rFonts w:ascii="Arial" w:hAnsi="Arial" w:cs="Arial"/>
          <w:sz w:val="22"/>
          <w:szCs w:val="22"/>
          <w:lang w:val="hr-HR"/>
        </w:rPr>
        <w:t>u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</w:t>
      </w:r>
      <w:r w:rsidR="009F1BEE" w:rsidRPr="00E25A18">
        <w:rPr>
          <w:rFonts w:ascii="Arial" w:hAnsi="Arial" w:cs="Arial"/>
          <w:sz w:val="22"/>
          <w:szCs w:val="22"/>
          <w:lang w:val="hr-HR"/>
        </w:rPr>
        <w:t>kroz jedinstvenu ponudu i</w:t>
      </w:r>
      <w:r w:rsidRPr="00E25A18">
        <w:rPr>
          <w:rFonts w:ascii="Arial" w:hAnsi="Arial" w:cs="Arial"/>
          <w:sz w:val="22"/>
          <w:szCs w:val="22"/>
          <w:lang w:val="hr-HR"/>
        </w:rPr>
        <w:t xml:space="preserve"> konzistentnu vizualnu i sadržajnu komunikaciju na mjestima prodaje koja iskustvo kupnje približava svima.</w:t>
      </w:r>
    </w:p>
    <w:p w14:paraId="2D8C29DB" w14:textId="117D7E12" w:rsidR="00357BAF" w:rsidRPr="00E25A18" w:rsidRDefault="000E5A45" w:rsidP="00E25A18">
      <w:pPr>
        <w:spacing w:before="100" w:beforeAutospacing="1" w:after="100" w:afterAutospacing="1"/>
        <w:rPr>
          <w:b/>
          <w:bCs/>
          <w:u w:val="single"/>
          <w:lang w:val="hr-HR"/>
        </w:rPr>
      </w:pPr>
      <w:r w:rsidRPr="00E25A18">
        <w:rPr>
          <w:b/>
          <w:bCs/>
          <w:u w:val="single"/>
          <w:lang w:val="hr-HR"/>
        </w:rPr>
        <w:lastRenderedPageBreak/>
        <w:t xml:space="preserve">POPIS POP-UP DUĆANA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640"/>
      </w:tblGrid>
      <w:tr w:rsidR="0050425C" w:rsidRPr="00E25A18" w14:paraId="4C402D77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2FB71815" w14:textId="09A92E07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Mjesto</w:t>
            </w:r>
          </w:p>
        </w:tc>
        <w:tc>
          <w:tcPr>
            <w:tcW w:w="2640" w:type="dxa"/>
            <w:vAlign w:val="center"/>
          </w:tcPr>
          <w:p w14:paraId="1E23AFAE" w14:textId="404B5E4A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Adresa</w:t>
            </w:r>
          </w:p>
        </w:tc>
      </w:tr>
      <w:tr w:rsidR="0050425C" w:rsidRPr="00E25A18" w14:paraId="134B62E7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551CFBDB" w14:textId="5619A613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Rabac</w:t>
            </w:r>
          </w:p>
        </w:tc>
        <w:tc>
          <w:tcPr>
            <w:tcW w:w="2640" w:type="dxa"/>
            <w:vAlign w:val="center"/>
          </w:tcPr>
          <w:p w14:paraId="53F6E14A" w14:textId="000133E1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Maslinica 1</w:t>
            </w:r>
          </w:p>
        </w:tc>
      </w:tr>
      <w:tr w:rsidR="0050425C" w:rsidRPr="00E25A18" w14:paraId="6AD44A90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4E1E023F" w14:textId="0CF52C61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Turističko naselje Kačjak (Dramalj)</w:t>
            </w:r>
          </w:p>
        </w:tc>
        <w:tc>
          <w:tcPr>
            <w:tcW w:w="2640" w:type="dxa"/>
            <w:vAlign w:val="center"/>
          </w:tcPr>
          <w:p w14:paraId="70490BEB" w14:textId="03B7D5FB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Ulica Kačjak</w:t>
            </w:r>
            <w:r w:rsidR="0000479B" w:rsidRPr="00E25A18">
              <w:rPr>
                <w:rFonts w:ascii="Arial" w:hAnsi="Arial" w:cs="Arial"/>
                <w:sz w:val="20"/>
                <w:szCs w:val="20"/>
                <w:lang w:val="hr-HR"/>
              </w:rPr>
              <w:t xml:space="preserve"> br.</w:t>
            </w:r>
            <w:r w:rsidR="00DA2208" w:rsidRPr="00E25A18">
              <w:rPr>
                <w:rFonts w:ascii="Arial" w:hAnsi="Arial" w:cs="Arial"/>
                <w:sz w:val="20"/>
                <w:szCs w:val="20"/>
                <w:lang w:val="hr-HR"/>
              </w:rPr>
              <w:t xml:space="preserve"> 12</w:t>
            </w:r>
          </w:p>
        </w:tc>
      </w:tr>
      <w:tr w:rsidR="0050425C" w:rsidRPr="00E25A18" w14:paraId="35070FA1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6D3D7670" w14:textId="23B22A1A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Kamp Zaton Holiday resort</w:t>
            </w:r>
          </w:p>
        </w:tc>
        <w:tc>
          <w:tcPr>
            <w:tcW w:w="2640" w:type="dxa"/>
            <w:vAlign w:val="center"/>
          </w:tcPr>
          <w:p w14:paraId="69F597E7" w14:textId="07A5A356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Dražnikova 76t.</w:t>
            </w:r>
          </w:p>
        </w:tc>
      </w:tr>
      <w:tr w:rsidR="0050425C" w:rsidRPr="00E25A18" w14:paraId="210DB89A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6AEF5F63" w14:textId="26F65A75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Kamp Selce</w:t>
            </w:r>
          </w:p>
        </w:tc>
        <w:tc>
          <w:tcPr>
            <w:tcW w:w="2640" w:type="dxa"/>
            <w:vAlign w:val="center"/>
          </w:tcPr>
          <w:p w14:paraId="7C2B593D" w14:textId="032C0789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Selce</w:t>
            </w:r>
          </w:p>
        </w:tc>
      </w:tr>
      <w:tr w:rsidR="0050425C" w:rsidRPr="00E25A18" w14:paraId="1D8E44F8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266FC184" w14:textId="6D58F4F9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Opatija</w:t>
            </w:r>
            <w:r w:rsidR="00D874CA">
              <w:rPr>
                <w:rFonts w:ascii="Arial" w:hAnsi="Arial" w:cs="Arial"/>
                <w:sz w:val="20"/>
                <w:szCs w:val="20"/>
                <w:lang w:val="hr-HR"/>
              </w:rPr>
              <w:t xml:space="preserve"> -</w:t>
            </w: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 xml:space="preserve"> Ičići</w:t>
            </w:r>
          </w:p>
        </w:tc>
        <w:tc>
          <w:tcPr>
            <w:tcW w:w="2640" w:type="dxa"/>
            <w:vAlign w:val="center"/>
          </w:tcPr>
          <w:p w14:paraId="285FA911" w14:textId="19936215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Liburnijska ulica 46</w:t>
            </w:r>
          </w:p>
        </w:tc>
      </w:tr>
      <w:tr w:rsidR="0050425C" w:rsidRPr="00E25A18" w14:paraId="6178FD38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75F8B2D6" w14:textId="0D2FFAD9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Vis</w:t>
            </w:r>
          </w:p>
        </w:tc>
        <w:tc>
          <w:tcPr>
            <w:tcW w:w="2640" w:type="dxa"/>
            <w:vAlign w:val="center"/>
          </w:tcPr>
          <w:p w14:paraId="60F1A64A" w14:textId="495DD982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Podšpilje 2</w:t>
            </w:r>
          </w:p>
        </w:tc>
      </w:tr>
      <w:tr w:rsidR="0050425C" w:rsidRPr="00E25A18" w14:paraId="273C9C0E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79974081" w14:textId="3C5817CA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Šilo, Otok Krk, Kamp TIHA</w:t>
            </w:r>
          </w:p>
        </w:tc>
        <w:tc>
          <w:tcPr>
            <w:tcW w:w="2640" w:type="dxa"/>
            <w:vAlign w:val="center"/>
          </w:tcPr>
          <w:p w14:paraId="3A929C09" w14:textId="09138C78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Konjska bb</w:t>
            </w:r>
          </w:p>
        </w:tc>
      </w:tr>
      <w:tr w:rsidR="0050425C" w:rsidRPr="00E25A18" w14:paraId="31A03545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5B3B8FCA" w14:textId="68690CAC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Zadar</w:t>
            </w:r>
          </w:p>
        </w:tc>
        <w:tc>
          <w:tcPr>
            <w:tcW w:w="2640" w:type="dxa"/>
            <w:vAlign w:val="center"/>
          </w:tcPr>
          <w:p w14:paraId="170815E5" w14:textId="0868AFF8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Obala Kneza Domagoja 1</w:t>
            </w:r>
          </w:p>
        </w:tc>
      </w:tr>
      <w:tr w:rsidR="0050425C" w:rsidRPr="00E25A18" w14:paraId="6D00E761" w14:textId="77777777" w:rsidTr="00E25A18">
        <w:trPr>
          <w:trHeight w:val="397"/>
        </w:trPr>
        <w:tc>
          <w:tcPr>
            <w:tcW w:w="3397" w:type="dxa"/>
            <w:vAlign w:val="center"/>
          </w:tcPr>
          <w:p w14:paraId="6A2878A6" w14:textId="51A5F27C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Tribunj</w:t>
            </w:r>
          </w:p>
        </w:tc>
        <w:tc>
          <w:tcPr>
            <w:tcW w:w="2640" w:type="dxa"/>
            <w:vAlign w:val="center"/>
          </w:tcPr>
          <w:p w14:paraId="2DA95751" w14:textId="3A40883C" w:rsidR="0050425C" w:rsidRPr="00E25A18" w:rsidRDefault="0050425C" w:rsidP="00E25A18">
            <w:pPr>
              <w:pStyle w:val="NormalWeb"/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5A18">
              <w:rPr>
                <w:rFonts w:ascii="Arial" w:hAnsi="Arial" w:cs="Arial"/>
                <w:sz w:val="20"/>
                <w:szCs w:val="20"/>
                <w:lang w:val="hr-HR"/>
              </w:rPr>
              <w:t>Jurjevgradska ulica 2</w:t>
            </w:r>
          </w:p>
        </w:tc>
      </w:tr>
    </w:tbl>
    <w:p w14:paraId="3F1D4855" w14:textId="002D063D" w:rsidR="00E970CA" w:rsidRPr="00E25A18" w:rsidRDefault="00E970CA" w:rsidP="003208E5">
      <w:pPr>
        <w:pStyle w:val="NormalWeb"/>
        <w:shd w:val="clear" w:color="auto" w:fill="FFFFFF"/>
        <w:spacing w:after="120" w:line="276" w:lineRule="auto"/>
        <w:contextualSpacing/>
        <w:rPr>
          <w:rFonts w:ascii="Arial" w:hAnsi="Arial" w:cs="Arial"/>
          <w:sz w:val="20"/>
          <w:szCs w:val="20"/>
          <w:lang w:val="hr-HR"/>
        </w:rPr>
      </w:pPr>
    </w:p>
    <w:p w14:paraId="3967C713" w14:textId="1960720A" w:rsidR="00C42D85" w:rsidRPr="00E25A18" w:rsidRDefault="00357BAF" w:rsidP="00AF785B">
      <w:pPr>
        <w:pStyle w:val="NormalWeb"/>
        <w:spacing w:after="120" w:line="276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0"/>
          <w:lang w:val="hr-HR"/>
        </w:rPr>
      </w:pPr>
      <w:r w:rsidRPr="00E25A18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</w:p>
    <w:p w14:paraId="7081E2C3" w14:textId="2F4D32FE" w:rsidR="00B672EF" w:rsidRPr="00E25A18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25A18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40A59562" w14:textId="77777777" w:rsidR="005E2911" w:rsidRPr="00E25A18" w:rsidRDefault="005E2911" w:rsidP="005E2911">
      <w:pPr>
        <w:pStyle w:val="NoSpacing"/>
        <w:spacing w:line="276" w:lineRule="auto"/>
        <w:jc w:val="both"/>
        <w:rPr>
          <w:rFonts w:ascii="Arial" w:hAnsi="Arial" w:cs="Arial"/>
        </w:rPr>
      </w:pPr>
      <w:r w:rsidRPr="00E25A18">
        <w:rPr>
          <w:rFonts w:ascii="Arial" w:hAnsi="Arial" w:cs="Arial"/>
        </w:rPr>
        <w:t xml:space="preserve">Anja Škulje Makjanić, </w:t>
      </w:r>
    </w:p>
    <w:p w14:paraId="2B60B708" w14:textId="77777777" w:rsidR="005E2911" w:rsidRPr="00E25A18" w:rsidRDefault="005E2911" w:rsidP="005E2911">
      <w:pPr>
        <w:pStyle w:val="NoSpacing"/>
        <w:spacing w:line="276" w:lineRule="auto"/>
        <w:jc w:val="both"/>
        <w:rPr>
          <w:rFonts w:ascii="Arial" w:hAnsi="Arial" w:cs="Arial"/>
        </w:rPr>
      </w:pPr>
      <w:r w:rsidRPr="00E25A18">
        <w:rPr>
          <w:rFonts w:ascii="Arial" w:hAnsi="Arial" w:cs="Arial"/>
        </w:rPr>
        <w:t>Voditeljica korporativnih komunikacija</w:t>
      </w:r>
    </w:p>
    <w:p w14:paraId="385A6CFF" w14:textId="77777777" w:rsidR="005E2911" w:rsidRPr="00E25A18" w:rsidRDefault="00D874CA" w:rsidP="005E2911">
      <w:pPr>
        <w:pStyle w:val="NoSpacing"/>
        <w:spacing w:line="276" w:lineRule="auto"/>
        <w:jc w:val="both"/>
        <w:rPr>
          <w:rFonts w:ascii="Arial" w:hAnsi="Arial" w:cs="Arial"/>
        </w:rPr>
      </w:pPr>
      <w:hyperlink r:id="rId6" w:history="1">
        <w:r w:rsidR="005E2911" w:rsidRPr="00E25A18">
          <w:rPr>
            <w:rStyle w:val="Hyperlink"/>
            <w:rFonts w:ascii="Arial" w:eastAsiaTheme="majorEastAsia" w:hAnsi="Arial" w:cs="Arial"/>
          </w:rPr>
          <w:t>anja.skulje-makjanic@studenac.hr</w:t>
        </w:r>
      </w:hyperlink>
    </w:p>
    <w:p w14:paraId="257079E0" w14:textId="77777777" w:rsidR="005E2911" w:rsidRPr="00E25A18" w:rsidRDefault="005E2911" w:rsidP="00B672E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41E55045" w14:textId="00144A3B" w:rsidR="00B672EF" w:rsidRPr="00E25A18" w:rsidRDefault="00D516E0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 w:rsidRPr="00E25A18">
        <w:rPr>
          <w:rFonts w:ascii="Arial" w:hAnsi="Arial" w:cs="Arial"/>
        </w:rPr>
        <w:t>Ružica Ilak</w:t>
      </w:r>
      <w:r w:rsidR="00B672EF" w:rsidRPr="00E25A18">
        <w:rPr>
          <w:rFonts w:ascii="Arial" w:hAnsi="Arial" w:cs="Arial"/>
        </w:rPr>
        <w:t>, Pragma komunikacije za Studenac</w:t>
      </w:r>
    </w:p>
    <w:p w14:paraId="1545439B" w14:textId="212D91B9" w:rsidR="00B672EF" w:rsidRPr="00E25A18" w:rsidRDefault="00B672EF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 w:rsidRPr="00E25A18">
        <w:rPr>
          <w:rFonts w:ascii="Arial" w:hAnsi="Arial" w:cs="Arial"/>
        </w:rPr>
        <w:t xml:space="preserve">+385 91 </w:t>
      </w:r>
      <w:r w:rsidR="00D516E0" w:rsidRPr="00E25A18">
        <w:rPr>
          <w:rFonts w:ascii="Arial" w:hAnsi="Arial" w:cs="Arial"/>
        </w:rPr>
        <w:t>118 6186</w:t>
      </w:r>
    </w:p>
    <w:p w14:paraId="1D3F514D" w14:textId="3A409AE7" w:rsidR="00B672EF" w:rsidRPr="00E25A18" w:rsidRDefault="00D874CA" w:rsidP="00B672E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B672EF" w:rsidRPr="00E25A18">
          <w:rPr>
            <w:rStyle w:val="Hyperlink"/>
            <w:rFonts w:ascii="Arial" w:hAnsi="Arial" w:cs="Arial"/>
          </w:rPr>
          <w:t>studenac@pragma.hr</w:t>
        </w:r>
      </w:hyperlink>
      <w:r w:rsidR="00B672EF" w:rsidRPr="00E25A18">
        <w:rPr>
          <w:rFonts w:ascii="Arial" w:hAnsi="Arial" w:cs="Arial"/>
        </w:rPr>
        <w:t xml:space="preserve"> </w:t>
      </w:r>
    </w:p>
    <w:p w14:paraId="5B8371D9" w14:textId="4B458FEF" w:rsidR="004A7F80" w:rsidRPr="00E25A18" w:rsidRDefault="004A7F80" w:rsidP="00B672EF">
      <w:pPr>
        <w:pStyle w:val="NoSpacing"/>
        <w:spacing w:line="276" w:lineRule="auto"/>
        <w:jc w:val="both"/>
        <w:rPr>
          <w:rFonts w:ascii="Arial" w:hAnsi="Arial" w:cs="Arial"/>
        </w:rPr>
      </w:pPr>
    </w:p>
    <w:bookmarkEnd w:id="0"/>
    <w:p w14:paraId="662E3025" w14:textId="77777777" w:rsidR="00412FBA" w:rsidRPr="00E25A18" w:rsidRDefault="00412FBA" w:rsidP="00412FB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ED4250A" w14:textId="4EA9179E" w:rsidR="00E36B9B" w:rsidRPr="00E25A18" w:rsidRDefault="004A7F80" w:rsidP="00795DB3">
      <w:pPr>
        <w:jc w:val="both"/>
        <w:rPr>
          <w:rFonts w:ascii="Arial" w:hAnsi="Arial" w:cs="Arial"/>
          <w:sz w:val="20"/>
          <w:szCs w:val="20"/>
          <w:lang w:val="hr-HR"/>
        </w:rPr>
      </w:pPr>
      <w:r w:rsidRPr="00E25A18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E25A18">
        <w:rPr>
          <w:rFonts w:ascii="Arial" w:hAnsi="Arial" w:cs="Arial"/>
          <w:sz w:val="20"/>
          <w:szCs w:val="20"/>
          <w:lang w:val="hr-HR"/>
        </w:rPr>
        <w:t xml:space="preserve"> </w:t>
      </w:r>
      <w:r w:rsidRPr="00E25A18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E25A18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E25A18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E25A18"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</w:t>
      </w:r>
      <w:r w:rsidR="005207D0" w:rsidRPr="00E25A18">
        <w:rPr>
          <w:rFonts w:asciiTheme="minorBidi" w:eastAsia="Calibri" w:hAnsiTheme="minorBidi"/>
          <w:sz w:val="20"/>
          <w:szCs w:val="20"/>
          <w:lang w:val="hr-HR" w:eastAsia="hr-HR"/>
        </w:rPr>
        <w:t>a u 2023. lanc</w:t>
      </w:r>
      <w:r w:rsidR="00E25A18">
        <w:rPr>
          <w:rFonts w:asciiTheme="minorBidi" w:eastAsia="Calibri" w:hAnsiTheme="minorBidi"/>
          <w:sz w:val="20"/>
          <w:szCs w:val="20"/>
          <w:lang w:val="hr-HR" w:eastAsia="hr-HR"/>
        </w:rPr>
        <w:t>e</w:t>
      </w:r>
      <w:r w:rsidR="005207D0" w:rsidRPr="00E25A18">
        <w:rPr>
          <w:rFonts w:asciiTheme="minorBidi" w:eastAsia="Calibri" w:hAnsiTheme="minorBidi"/>
          <w:sz w:val="20"/>
          <w:szCs w:val="20"/>
          <w:lang w:val="hr-HR" w:eastAsia="hr-HR"/>
        </w:rPr>
        <w:t xml:space="preserve"> Strahinjčicu</w:t>
      </w:r>
      <w:r w:rsidR="00E25A18">
        <w:rPr>
          <w:rFonts w:asciiTheme="minorBidi" w:eastAsia="Calibri" w:hAnsiTheme="minorBidi"/>
          <w:sz w:val="20"/>
          <w:szCs w:val="20"/>
          <w:lang w:val="hr-HR" w:eastAsia="hr-HR"/>
        </w:rPr>
        <w:t xml:space="preserve"> i Špar</w:t>
      </w:r>
      <w:r w:rsidR="005207D0" w:rsidRPr="00E25A18">
        <w:rPr>
          <w:rFonts w:asciiTheme="minorBidi" w:eastAsia="Calibri" w:hAnsiTheme="minorBidi"/>
          <w:sz w:val="20"/>
          <w:szCs w:val="20"/>
          <w:lang w:val="hr-HR" w:eastAsia="hr-HR"/>
        </w:rPr>
        <w:t>, te je sada prisutan na nacionalnom nivou.</w:t>
      </w:r>
      <w:r w:rsidRPr="00E25A18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5207D0" w:rsidRPr="00E25A18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, ima </w:t>
      </w:r>
      <w:r w:rsidR="005E2911"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1</w:t>
      </w:r>
      <w:r w:rsid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2</w:t>
      </w:r>
      <w:r w:rsidR="00CD72FB"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00</w:t>
      </w:r>
      <w:r w:rsidRPr="00E25A18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među vodećim maloprodajnim lancima u Hrvatskoj.</w:t>
      </w:r>
      <w:r w:rsidRPr="00E25A18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E25A18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8" w:history="1">
        <w:r w:rsidRPr="00E25A18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E25A18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9" w:history="1">
        <w:r w:rsidRPr="00E25A18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E25A18">
        <w:rPr>
          <w:rFonts w:ascii="Arial" w:hAnsi="Arial" w:cs="Arial"/>
          <w:sz w:val="20"/>
          <w:szCs w:val="20"/>
          <w:lang w:val="hr-HR"/>
        </w:rPr>
        <w:t>.</w:t>
      </w:r>
    </w:p>
    <w:sectPr w:rsidR="00E36B9B" w:rsidRPr="00E25A18" w:rsidSect="00530950">
      <w:headerReference w:type="default" r:id="rId10"/>
      <w:footerReference w:type="default" r:id="rId11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920B" w14:textId="77777777" w:rsidR="007E266E" w:rsidRDefault="007E266E">
      <w:r>
        <w:separator/>
      </w:r>
    </w:p>
  </w:endnote>
  <w:endnote w:type="continuationSeparator" w:id="0">
    <w:p w14:paraId="5596DD5E" w14:textId="77777777" w:rsidR="007E266E" w:rsidRDefault="007E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4D7D26" w:rsidRDefault="00A207EF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4D7D26" w:rsidRPr="00AF725F" w:rsidRDefault="00A207E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4D7D26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4D7D26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4D7D26" w:rsidRPr="00AF725F" w:rsidRDefault="00A207E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4D7D26" w:rsidRPr="00AF725F" w:rsidRDefault="00A207E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4D7D26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4D7D26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4D7D26" w:rsidRPr="00AF725F" w:rsidRDefault="00A207E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07BAA" w14:textId="77777777" w:rsidR="007E266E" w:rsidRDefault="007E266E">
      <w:r>
        <w:separator/>
      </w:r>
    </w:p>
  </w:footnote>
  <w:footnote w:type="continuationSeparator" w:id="0">
    <w:p w14:paraId="14DCB42C" w14:textId="77777777" w:rsidR="007E266E" w:rsidRDefault="007E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4D7D26" w:rsidRDefault="00A207EF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77777777" w:rsidR="004D7D26" w:rsidRPr="002A405A" w:rsidRDefault="00A207EF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0479B"/>
    <w:rsid w:val="00020224"/>
    <w:rsid w:val="00031B40"/>
    <w:rsid w:val="00055F91"/>
    <w:rsid w:val="00081A11"/>
    <w:rsid w:val="000823AB"/>
    <w:rsid w:val="00087759"/>
    <w:rsid w:val="000878DC"/>
    <w:rsid w:val="000A388C"/>
    <w:rsid w:val="000A656C"/>
    <w:rsid w:val="000C33D6"/>
    <w:rsid w:val="000E4E22"/>
    <w:rsid w:val="000E5A45"/>
    <w:rsid w:val="000E6CEA"/>
    <w:rsid w:val="000F78D8"/>
    <w:rsid w:val="00102838"/>
    <w:rsid w:val="00113289"/>
    <w:rsid w:val="0011340E"/>
    <w:rsid w:val="00120E1D"/>
    <w:rsid w:val="001266D1"/>
    <w:rsid w:val="001350C6"/>
    <w:rsid w:val="0013640E"/>
    <w:rsid w:val="00150776"/>
    <w:rsid w:val="00161F5E"/>
    <w:rsid w:val="001675FB"/>
    <w:rsid w:val="00171575"/>
    <w:rsid w:val="0018212E"/>
    <w:rsid w:val="00182F8D"/>
    <w:rsid w:val="001938F1"/>
    <w:rsid w:val="00195E11"/>
    <w:rsid w:val="00197C5F"/>
    <w:rsid w:val="001A6B6F"/>
    <w:rsid w:val="001D2C7F"/>
    <w:rsid w:val="001D6C24"/>
    <w:rsid w:val="001E440F"/>
    <w:rsid w:val="001E6F78"/>
    <w:rsid w:val="001F1470"/>
    <w:rsid w:val="001F447F"/>
    <w:rsid w:val="00200431"/>
    <w:rsid w:val="00214921"/>
    <w:rsid w:val="0022175D"/>
    <w:rsid w:val="00222E55"/>
    <w:rsid w:val="00232861"/>
    <w:rsid w:val="00252455"/>
    <w:rsid w:val="002770AA"/>
    <w:rsid w:val="002773E1"/>
    <w:rsid w:val="00282489"/>
    <w:rsid w:val="00292F69"/>
    <w:rsid w:val="00297C77"/>
    <w:rsid w:val="002A1EC9"/>
    <w:rsid w:val="002A3A73"/>
    <w:rsid w:val="002A627C"/>
    <w:rsid w:val="002B0227"/>
    <w:rsid w:val="002C42E5"/>
    <w:rsid w:val="002C434E"/>
    <w:rsid w:val="00304E28"/>
    <w:rsid w:val="003147C8"/>
    <w:rsid w:val="00314D80"/>
    <w:rsid w:val="003208E5"/>
    <w:rsid w:val="00322355"/>
    <w:rsid w:val="003353F1"/>
    <w:rsid w:val="00341800"/>
    <w:rsid w:val="00346895"/>
    <w:rsid w:val="0035501E"/>
    <w:rsid w:val="00357BAF"/>
    <w:rsid w:val="00382567"/>
    <w:rsid w:val="00391351"/>
    <w:rsid w:val="00396E25"/>
    <w:rsid w:val="00397E7D"/>
    <w:rsid w:val="003C4B3D"/>
    <w:rsid w:val="003D76F2"/>
    <w:rsid w:val="003F0780"/>
    <w:rsid w:val="003F3D63"/>
    <w:rsid w:val="003F5D70"/>
    <w:rsid w:val="00412ED4"/>
    <w:rsid w:val="00412FBA"/>
    <w:rsid w:val="00415D08"/>
    <w:rsid w:val="00417461"/>
    <w:rsid w:val="00431A33"/>
    <w:rsid w:val="004413E5"/>
    <w:rsid w:val="004453D4"/>
    <w:rsid w:val="004457DF"/>
    <w:rsid w:val="0045111D"/>
    <w:rsid w:val="0046532A"/>
    <w:rsid w:val="00474703"/>
    <w:rsid w:val="00487F95"/>
    <w:rsid w:val="00495552"/>
    <w:rsid w:val="00496BDD"/>
    <w:rsid w:val="004A08A7"/>
    <w:rsid w:val="004A1165"/>
    <w:rsid w:val="004A319C"/>
    <w:rsid w:val="004A5B8A"/>
    <w:rsid w:val="004A7F80"/>
    <w:rsid w:val="004B149C"/>
    <w:rsid w:val="004B5504"/>
    <w:rsid w:val="004C6FC8"/>
    <w:rsid w:val="004D5CDA"/>
    <w:rsid w:val="004D6BD5"/>
    <w:rsid w:val="004D7D26"/>
    <w:rsid w:val="004E1DBF"/>
    <w:rsid w:val="004E42C3"/>
    <w:rsid w:val="0050425C"/>
    <w:rsid w:val="00506B0F"/>
    <w:rsid w:val="00507DC0"/>
    <w:rsid w:val="0051316F"/>
    <w:rsid w:val="00513944"/>
    <w:rsid w:val="005207D0"/>
    <w:rsid w:val="00521070"/>
    <w:rsid w:val="005237AA"/>
    <w:rsid w:val="0052406C"/>
    <w:rsid w:val="00532EE0"/>
    <w:rsid w:val="005342C2"/>
    <w:rsid w:val="00542350"/>
    <w:rsid w:val="00564794"/>
    <w:rsid w:val="00564A45"/>
    <w:rsid w:val="0056793F"/>
    <w:rsid w:val="005761DF"/>
    <w:rsid w:val="00584514"/>
    <w:rsid w:val="00592088"/>
    <w:rsid w:val="00592BD7"/>
    <w:rsid w:val="00593A95"/>
    <w:rsid w:val="00596BFC"/>
    <w:rsid w:val="005A5FD3"/>
    <w:rsid w:val="005A6409"/>
    <w:rsid w:val="005A7E1F"/>
    <w:rsid w:val="005B23DA"/>
    <w:rsid w:val="005C49D6"/>
    <w:rsid w:val="005D2541"/>
    <w:rsid w:val="005D3C2B"/>
    <w:rsid w:val="005E2911"/>
    <w:rsid w:val="00601592"/>
    <w:rsid w:val="006355BC"/>
    <w:rsid w:val="00657315"/>
    <w:rsid w:val="00671C69"/>
    <w:rsid w:val="0068090E"/>
    <w:rsid w:val="00686F21"/>
    <w:rsid w:val="00691906"/>
    <w:rsid w:val="00697B0C"/>
    <w:rsid w:val="006A28BF"/>
    <w:rsid w:val="006A3C7B"/>
    <w:rsid w:val="006B3D99"/>
    <w:rsid w:val="006B3E96"/>
    <w:rsid w:val="006C3ED2"/>
    <w:rsid w:val="006D41EB"/>
    <w:rsid w:val="006E0643"/>
    <w:rsid w:val="006E284F"/>
    <w:rsid w:val="006F36E5"/>
    <w:rsid w:val="006F7303"/>
    <w:rsid w:val="006F760E"/>
    <w:rsid w:val="006F7E95"/>
    <w:rsid w:val="00700AB5"/>
    <w:rsid w:val="007073EC"/>
    <w:rsid w:val="007320AC"/>
    <w:rsid w:val="00753927"/>
    <w:rsid w:val="00756662"/>
    <w:rsid w:val="00757639"/>
    <w:rsid w:val="00757FFE"/>
    <w:rsid w:val="00761480"/>
    <w:rsid w:val="007749D6"/>
    <w:rsid w:val="00776498"/>
    <w:rsid w:val="00785DD4"/>
    <w:rsid w:val="00793791"/>
    <w:rsid w:val="0079474F"/>
    <w:rsid w:val="00795DB3"/>
    <w:rsid w:val="007A5E09"/>
    <w:rsid w:val="007B0175"/>
    <w:rsid w:val="007B186D"/>
    <w:rsid w:val="007B460A"/>
    <w:rsid w:val="007B4884"/>
    <w:rsid w:val="007D3354"/>
    <w:rsid w:val="007D5CD4"/>
    <w:rsid w:val="007E266E"/>
    <w:rsid w:val="007F1AC7"/>
    <w:rsid w:val="007F39FE"/>
    <w:rsid w:val="00822D1D"/>
    <w:rsid w:val="00823593"/>
    <w:rsid w:val="00827F14"/>
    <w:rsid w:val="00840E15"/>
    <w:rsid w:val="008572A7"/>
    <w:rsid w:val="00880FD9"/>
    <w:rsid w:val="008866B2"/>
    <w:rsid w:val="008B0A79"/>
    <w:rsid w:val="008B3E5D"/>
    <w:rsid w:val="008C0CD3"/>
    <w:rsid w:val="008C3153"/>
    <w:rsid w:val="008D7E5F"/>
    <w:rsid w:val="008E1FC1"/>
    <w:rsid w:val="008E281A"/>
    <w:rsid w:val="008E5FA0"/>
    <w:rsid w:val="008E5FB4"/>
    <w:rsid w:val="008E6CA8"/>
    <w:rsid w:val="0091451A"/>
    <w:rsid w:val="009146CB"/>
    <w:rsid w:val="00921053"/>
    <w:rsid w:val="009265CF"/>
    <w:rsid w:val="009311E7"/>
    <w:rsid w:val="0093194D"/>
    <w:rsid w:val="00955EB0"/>
    <w:rsid w:val="00956733"/>
    <w:rsid w:val="00966C00"/>
    <w:rsid w:val="00976B44"/>
    <w:rsid w:val="00992A6C"/>
    <w:rsid w:val="00994B38"/>
    <w:rsid w:val="00996628"/>
    <w:rsid w:val="009976E4"/>
    <w:rsid w:val="009A2C12"/>
    <w:rsid w:val="009A4A1B"/>
    <w:rsid w:val="009A68C9"/>
    <w:rsid w:val="009B3949"/>
    <w:rsid w:val="009B4B99"/>
    <w:rsid w:val="009D1984"/>
    <w:rsid w:val="009D588F"/>
    <w:rsid w:val="009F161F"/>
    <w:rsid w:val="009F1BEE"/>
    <w:rsid w:val="009F1FAB"/>
    <w:rsid w:val="009F3E02"/>
    <w:rsid w:val="009F7502"/>
    <w:rsid w:val="00A07447"/>
    <w:rsid w:val="00A15D2F"/>
    <w:rsid w:val="00A16826"/>
    <w:rsid w:val="00A17710"/>
    <w:rsid w:val="00A207EF"/>
    <w:rsid w:val="00A348AB"/>
    <w:rsid w:val="00A42252"/>
    <w:rsid w:val="00A44017"/>
    <w:rsid w:val="00A53988"/>
    <w:rsid w:val="00A97145"/>
    <w:rsid w:val="00AA5889"/>
    <w:rsid w:val="00AB19A2"/>
    <w:rsid w:val="00AC3595"/>
    <w:rsid w:val="00AC36BB"/>
    <w:rsid w:val="00AE6594"/>
    <w:rsid w:val="00AE6A81"/>
    <w:rsid w:val="00AF5FC5"/>
    <w:rsid w:val="00AF785B"/>
    <w:rsid w:val="00B20AD6"/>
    <w:rsid w:val="00B242CA"/>
    <w:rsid w:val="00B44DE7"/>
    <w:rsid w:val="00B458DB"/>
    <w:rsid w:val="00B50B60"/>
    <w:rsid w:val="00B517A6"/>
    <w:rsid w:val="00B533F4"/>
    <w:rsid w:val="00B62CBD"/>
    <w:rsid w:val="00B63232"/>
    <w:rsid w:val="00B672EF"/>
    <w:rsid w:val="00B77342"/>
    <w:rsid w:val="00B825FE"/>
    <w:rsid w:val="00B84441"/>
    <w:rsid w:val="00B87B79"/>
    <w:rsid w:val="00B93582"/>
    <w:rsid w:val="00BA76CB"/>
    <w:rsid w:val="00BB3652"/>
    <w:rsid w:val="00BE166C"/>
    <w:rsid w:val="00C02D7E"/>
    <w:rsid w:val="00C13BC1"/>
    <w:rsid w:val="00C21E89"/>
    <w:rsid w:val="00C2375D"/>
    <w:rsid w:val="00C268D5"/>
    <w:rsid w:val="00C308C2"/>
    <w:rsid w:val="00C31DE7"/>
    <w:rsid w:val="00C3377B"/>
    <w:rsid w:val="00C3424B"/>
    <w:rsid w:val="00C3647F"/>
    <w:rsid w:val="00C40BFC"/>
    <w:rsid w:val="00C42D85"/>
    <w:rsid w:val="00C64E7F"/>
    <w:rsid w:val="00C66FE0"/>
    <w:rsid w:val="00C9717C"/>
    <w:rsid w:val="00CC017C"/>
    <w:rsid w:val="00CC19A8"/>
    <w:rsid w:val="00CC462E"/>
    <w:rsid w:val="00CD14DD"/>
    <w:rsid w:val="00CD72FB"/>
    <w:rsid w:val="00CF0436"/>
    <w:rsid w:val="00D07726"/>
    <w:rsid w:val="00D1621F"/>
    <w:rsid w:val="00D33DAC"/>
    <w:rsid w:val="00D372D8"/>
    <w:rsid w:val="00D444AE"/>
    <w:rsid w:val="00D516E0"/>
    <w:rsid w:val="00D5385C"/>
    <w:rsid w:val="00D62DEF"/>
    <w:rsid w:val="00D64B50"/>
    <w:rsid w:val="00D77A31"/>
    <w:rsid w:val="00D81388"/>
    <w:rsid w:val="00D874CA"/>
    <w:rsid w:val="00D95698"/>
    <w:rsid w:val="00DA2208"/>
    <w:rsid w:val="00DB6E64"/>
    <w:rsid w:val="00DD2BA2"/>
    <w:rsid w:val="00DD2C13"/>
    <w:rsid w:val="00DD6778"/>
    <w:rsid w:val="00DD68DF"/>
    <w:rsid w:val="00DE2D9E"/>
    <w:rsid w:val="00DE7914"/>
    <w:rsid w:val="00E016C5"/>
    <w:rsid w:val="00E24D08"/>
    <w:rsid w:val="00E25A18"/>
    <w:rsid w:val="00E36B9B"/>
    <w:rsid w:val="00E471AE"/>
    <w:rsid w:val="00E67827"/>
    <w:rsid w:val="00E970CA"/>
    <w:rsid w:val="00EB04D1"/>
    <w:rsid w:val="00EC6435"/>
    <w:rsid w:val="00EC6772"/>
    <w:rsid w:val="00EC6DF5"/>
    <w:rsid w:val="00ED0ABB"/>
    <w:rsid w:val="00EF73B6"/>
    <w:rsid w:val="00F058A9"/>
    <w:rsid w:val="00F1646C"/>
    <w:rsid w:val="00F179CB"/>
    <w:rsid w:val="00F35906"/>
    <w:rsid w:val="00F52678"/>
    <w:rsid w:val="00F66714"/>
    <w:rsid w:val="00F750A7"/>
    <w:rsid w:val="00FC10A3"/>
    <w:rsid w:val="00FD0FF7"/>
    <w:rsid w:val="00FD11BC"/>
    <w:rsid w:val="00FD49E1"/>
    <w:rsid w:val="00FD6EE6"/>
    <w:rsid w:val="00FE207A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45F6"/>
  <w15:chartTrackingRefBased/>
  <w15:docId w15:val="{40628DA5-7293-4D1E-B3F0-5259D76C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EF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EF"/>
    <w:rPr>
      <w:sz w:val="24"/>
      <w:szCs w:val="24"/>
      <w:lang w:val="pl-PL"/>
    </w:rPr>
  </w:style>
  <w:style w:type="paragraph" w:styleId="Normal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672E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657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315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315"/>
    <w:rPr>
      <w:b/>
      <w:bCs/>
      <w:sz w:val="20"/>
      <w:szCs w:val="20"/>
      <w:lang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B62C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DE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E5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ja.skulje-makjanic@studenac.h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Ruzica Ilak</cp:lastModifiedBy>
  <cp:revision>10</cp:revision>
  <dcterms:created xsi:type="dcterms:W3CDTF">2023-08-04T07:13:00Z</dcterms:created>
  <dcterms:modified xsi:type="dcterms:W3CDTF">2023-08-10T09:42:00Z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2c8264c20fcae4c2033ac48b723ee45179ab7365a382507f194c4b075dfce121</vt:lpwstr>
  </property>
</Properties>
</file>